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IDP LIMITED — INCOME TAX PROVISION NOTE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Period: Q2 FY2025-26 (July–September 2025)  |  Prepared by: Finance Team  |  Date: 30 September 2025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1. Computation of Tax Provision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576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Particulars</w:t>
            </w:r>
          </w:p>
        </w:tc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Amount (Rs)</w:t>
            </w:r>
          </w:p>
        </w:tc>
      </w:tr>
      <w:tr>
        <w:tc>
          <w:tcPr>
            <w:tcW w:type="dxa" w:w="5760"/>
            <w:shd w:fill="F5F7FA" w:val="clear"/>
          </w:tcPr>
          <w:p>
            <w:r/>
            <w:r>
              <w:rPr>
                <w:sz w:val="20"/>
              </w:rPr>
              <w:t>Profit Before Tax (PBT) — Q2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58,40,000</w:t>
            </w:r>
          </w:p>
        </w:tc>
      </w:tr>
      <w:tr>
        <w:tc>
          <w:tcPr>
            <w:tcW w:type="dxa" w:w="5760"/>
            <w:shd w:fill="FFFFFF" w:val="clear"/>
          </w:tcPr>
          <w:p>
            <w:r/>
            <w:r>
              <w:rPr>
                <w:sz w:val="20"/>
              </w:rPr>
              <w:t>Add: Permanent Differences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0"/>
            <w:shd w:fill="F5F7FA" w:val="clear"/>
          </w:tcPr>
          <w:p>
            <w:r/>
            <w:r>
              <w:rPr>
                <w:sz w:val="20"/>
              </w:rPr>
              <w:t xml:space="preserve">   — Disallowable entertainment expenses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82,000</w:t>
            </w:r>
          </w:p>
        </w:tc>
      </w:tr>
      <w:tr>
        <w:tc>
          <w:tcPr>
            <w:tcW w:type="dxa" w:w="5760"/>
            <w:shd w:fill="FFFFFF" w:val="clear"/>
          </w:tcPr>
          <w:p>
            <w:r/>
            <w:r>
              <w:rPr>
                <w:sz w:val="20"/>
              </w:rPr>
              <w:t xml:space="preserve">   — Penalty paid (non-deductible)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35,000</w:t>
            </w:r>
          </w:p>
        </w:tc>
      </w:tr>
      <w:tr>
        <w:tc>
          <w:tcPr>
            <w:tcW w:type="dxa" w:w="5760"/>
            <w:shd w:fill="F5F7FA" w:val="clear"/>
          </w:tcPr>
          <w:p>
            <w:r/>
            <w:r>
              <w:rPr>
                <w:sz w:val="20"/>
              </w:rPr>
              <w:t xml:space="preserve">   — CSR expenditure (Sec 37 disallowance)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1,20,000</w:t>
            </w:r>
          </w:p>
        </w:tc>
      </w:tr>
      <w:tr>
        <w:tc>
          <w:tcPr>
            <w:tcW w:type="dxa" w:w="5760"/>
            <w:shd w:fill="FFFFFF" w:val="clear"/>
          </w:tcPr>
          <w:p>
            <w:r/>
            <w:r>
              <w:rPr>
                <w:sz w:val="20"/>
              </w:rPr>
              <w:t xml:space="preserve">   Subtotal: Permanent Differences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2,37,000</w:t>
            </w:r>
          </w:p>
        </w:tc>
      </w:tr>
      <w:tr>
        <w:tc>
          <w:tcPr>
            <w:tcW w:type="dxa" w:w="5760"/>
            <w:shd w:fill="F5F7FA" w:val="clear"/>
          </w:tcPr>
          <w:p>
            <w:r/>
            <w:r>
              <w:rPr>
                <w:sz w:val="20"/>
              </w:rPr>
              <w:t>Less: Timing Differences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</w:r>
          </w:p>
        </w:tc>
      </w:tr>
      <w:tr>
        <w:tc>
          <w:tcPr>
            <w:tcW w:type="dxa" w:w="5760"/>
            <w:shd w:fill="FFFFFF" w:val="clear"/>
          </w:tcPr>
          <w:p>
            <w:r/>
            <w:r>
              <w:rPr>
                <w:sz w:val="20"/>
              </w:rPr>
              <w:t xml:space="preserve">   — Depreciation as per Companies Act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(4,60,000)</w:t>
            </w:r>
          </w:p>
        </w:tc>
      </w:tr>
      <w:tr>
        <w:tc>
          <w:tcPr>
            <w:tcW w:type="dxa" w:w="5760"/>
            <w:shd w:fill="F5F7FA" w:val="clear"/>
          </w:tcPr>
          <w:p>
            <w:r/>
            <w:r>
              <w:rPr>
                <w:sz w:val="20"/>
              </w:rPr>
              <w:t xml:space="preserve">   — Depreciation as per Income Tax Act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(7,80,000)</w:t>
            </w:r>
          </w:p>
        </w:tc>
      </w:tr>
      <w:tr>
        <w:tc>
          <w:tcPr>
            <w:tcW w:type="dxa" w:w="5760"/>
            <w:shd w:fill="FFFFFF" w:val="clear"/>
          </w:tcPr>
          <w:p>
            <w:r/>
            <w:r>
              <w:rPr>
                <w:sz w:val="20"/>
              </w:rPr>
              <w:t xml:space="preserve">   Net Timing Difference (accelerated dep.)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3,20,000</w:t>
            </w:r>
          </w:p>
        </w:tc>
      </w:tr>
      <w:tr>
        <w:tc>
          <w:tcPr>
            <w:tcW w:type="dxa" w:w="5760"/>
            <w:shd w:fill="F5F7FA" w:val="clear"/>
          </w:tcPr>
          <w:p>
            <w:r/>
            <w:r>
              <w:rPr>
                <w:sz w:val="20"/>
              </w:rPr>
              <w:t>Taxable Income (estimated for provision)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63,97,000</w:t>
            </w:r>
          </w:p>
        </w:tc>
      </w:tr>
      <w:tr>
        <w:tc>
          <w:tcPr>
            <w:tcW w:type="dxa" w:w="5760"/>
            <w:shd w:fill="FFFFFF" w:val="clear"/>
          </w:tcPr>
          <w:p>
            <w:r/>
            <w:r>
              <w:rPr>
                <w:sz w:val="20"/>
              </w:rPr>
              <w:t>Income Tax @ 25.17% (incl. cess 4%)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16,10,000</w:t>
            </w:r>
          </w:p>
        </w:tc>
      </w:tr>
      <w:tr>
        <w:tc>
          <w:tcPr>
            <w:tcW w:type="dxa" w:w="5760"/>
            <w:shd w:fill="F5F7FA" w:val="clear"/>
          </w:tcPr>
          <w:p>
            <w:r/>
            <w:r>
              <w:rPr>
                <w:sz w:val="20"/>
              </w:rPr>
              <w:t>Less: Advance Tax Paid (Q1+Q2)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(10,50,000)</w:t>
            </w:r>
          </w:p>
        </w:tc>
      </w:tr>
      <w:tr>
        <w:tc>
          <w:tcPr>
            <w:tcW w:type="dxa" w:w="5760"/>
            <w:shd w:fill="FFFFFF" w:val="clear"/>
          </w:tcPr>
          <w:p>
            <w:r/>
            <w:r>
              <w:rPr>
                <w:sz w:val="20"/>
              </w:rPr>
              <w:t>Net Tax Payable / (Refundable)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5,60,000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2. Deferred Tax Asset / Liability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Item</w:t>
            </w:r>
          </w:p>
        </w:tc>
        <w:tc>
          <w:tcPr>
            <w:tcW w:type="dxa" w:w="360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Temporary Difference (Rs)</w:t>
            </w:r>
          </w:p>
        </w:tc>
        <w:tc>
          <w:tcPr>
            <w:tcW w:type="dxa" w:w="28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DTA / DTL @ 25.17%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Depreciation timing difference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3,20,000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DTL — Rs 80,544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Provision for doubtful debts (not yet allowed)</w:t>
            </w:r>
          </w:p>
        </w:tc>
        <w:tc>
          <w:tcPr>
            <w:tcW w:type="dxa" w:w="3600"/>
            <w:shd w:fill="FFFFFF" w:val="clear"/>
          </w:tcPr>
          <w:p>
            <w:r/>
            <w:r>
              <w:rPr>
                <w:sz w:val="20"/>
              </w:rPr>
              <w:t>(1,80,000)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DTA — Rs 45,306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Net Deferred Tax Liability</w:t>
            </w:r>
          </w:p>
        </w:tc>
        <w:tc>
          <w:tcPr>
            <w:tcW w:type="dxa" w:w="3600"/>
            <w:shd w:fill="F5F7FA" w:val="clear"/>
          </w:tcPr>
          <w:p>
            <w:r/>
            <w:r>
              <w:rPr>
                <w:sz w:val="20"/>
              </w:rPr>
              <w:t>1,40,000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Net DTL — Rs 35,238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3. Journal Entries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7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Entry</w:t>
            </w:r>
          </w:p>
        </w:tc>
        <w:tc>
          <w:tcPr>
            <w:tcW w:type="dxa" w:w="115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Dr / Cr</w:t>
            </w:r>
          </w:p>
        </w:tc>
        <w:tc>
          <w:tcPr>
            <w:tcW w:type="dxa" w:w="604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Account</w:t>
            </w:r>
          </w:p>
        </w:tc>
        <w:tc>
          <w:tcPr>
            <w:tcW w:type="dxa" w:w="28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Amount (Rs)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1152"/>
            <w:shd w:fill="F5F7FA" w:val="clear"/>
          </w:tcPr>
          <w:p>
            <w:r/>
            <w:r>
              <w:rPr>
                <w:sz w:val="20"/>
              </w:rPr>
              <w:t>Dr</w:t>
            </w:r>
          </w:p>
        </w:tc>
        <w:tc>
          <w:tcPr>
            <w:tcW w:type="dxa" w:w="6048"/>
            <w:shd w:fill="F5F7FA" w:val="clear"/>
          </w:tcPr>
          <w:p>
            <w:r/>
            <w:r>
              <w:rPr>
                <w:sz w:val="20"/>
              </w:rPr>
              <w:t>Income Tax Expense A/c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16,10,000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1</w:t>
            </w:r>
          </w:p>
        </w:tc>
        <w:tc>
          <w:tcPr>
            <w:tcW w:type="dxa" w:w="1152"/>
            <w:shd w:fill="FFFFFF" w:val="clear"/>
          </w:tcPr>
          <w:p>
            <w:r/>
            <w:r>
              <w:rPr>
                <w:sz w:val="20"/>
              </w:rPr>
              <w:t>Cr</w:t>
            </w:r>
          </w:p>
        </w:tc>
        <w:tc>
          <w:tcPr>
            <w:tcW w:type="dxa" w:w="6048"/>
            <w:shd w:fill="FFFFFF" w:val="clear"/>
          </w:tcPr>
          <w:p>
            <w:r/>
            <w:r>
              <w:rPr>
                <w:sz w:val="20"/>
              </w:rPr>
              <w:t>Current Tax Liability A/c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16,10,000</w:t>
            </w:r>
          </w:p>
        </w:tc>
      </w:tr>
      <w:tr>
        <w:tc>
          <w:tcPr>
            <w:tcW w:type="dxa" w:w="720"/>
            <w:shd w:fill="F5F7FA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1152"/>
            <w:shd w:fill="F5F7FA" w:val="clear"/>
          </w:tcPr>
          <w:p>
            <w:r/>
            <w:r>
              <w:rPr>
                <w:sz w:val="20"/>
              </w:rPr>
              <w:t>Dr</w:t>
            </w:r>
          </w:p>
        </w:tc>
        <w:tc>
          <w:tcPr>
            <w:tcW w:type="dxa" w:w="6048"/>
            <w:shd w:fill="F5F7FA" w:val="clear"/>
          </w:tcPr>
          <w:p>
            <w:r/>
            <w:r>
              <w:rPr>
                <w:sz w:val="20"/>
              </w:rPr>
              <w:t>Deferred Tax Expense A/c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35,238</w:t>
            </w:r>
          </w:p>
        </w:tc>
      </w:tr>
      <w:tr>
        <w:tc>
          <w:tcPr>
            <w:tcW w:type="dxa" w:w="720"/>
            <w:shd w:fill="FFFFFF" w:val="clear"/>
          </w:tcPr>
          <w:p>
            <w:r/>
            <w:r>
              <w:rPr>
                <w:sz w:val="20"/>
              </w:rPr>
              <w:t>2</w:t>
            </w:r>
          </w:p>
        </w:tc>
        <w:tc>
          <w:tcPr>
            <w:tcW w:type="dxa" w:w="1152"/>
            <w:shd w:fill="FFFFFF" w:val="clear"/>
          </w:tcPr>
          <w:p>
            <w:r/>
            <w:r>
              <w:rPr>
                <w:sz w:val="20"/>
              </w:rPr>
              <w:t>Cr</w:t>
            </w:r>
          </w:p>
        </w:tc>
        <w:tc>
          <w:tcPr>
            <w:tcW w:type="dxa" w:w="6048"/>
            <w:shd w:fill="FFFFFF" w:val="clear"/>
          </w:tcPr>
          <w:p>
            <w:r/>
            <w:r>
              <w:rPr>
                <w:sz w:val="20"/>
              </w:rPr>
              <w:t>Deferred Tax Liability A/c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35,238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4. Notes</w:t>
      </w:r>
    </w:p>
    <w:p>
      <w:pPr>
        <w:pStyle w:val="ListBullet"/>
        <w:spacing w:after="60"/>
      </w:pPr>
      <w:r>
        <w:rPr>
          <w:b w:val="0"/>
          <w:sz w:val="22"/>
        </w:rPr>
        <w:t>Tax rate used: 25% basic + 7% surcharge (if tax &gt; Rs 1 Cr) + 4% H&amp;E cess = 25.17% (assuming PBT &lt; Rs 1 Cr threshold)</w:t>
      </w:r>
    </w:p>
    <w:p>
      <w:pPr>
        <w:pStyle w:val="ListBullet"/>
        <w:spacing w:after="60"/>
      </w:pPr>
      <w:r>
        <w:rPr>
          <w:b w:val="0"/>
          <w:sz w:val="22"/>
        </w:rPr>
        <w:t>Provision is based on estimated annual income — actual may vary at year-end</w:t>
      </w:r>
    </w:p>
    <w:p>
      <w:pPr>
        <w:pStyle w:val="ListBullet"/>
        <w:spacing w:after="60"/>
      </w:pPr>
      <w:r>
        <w:rPr>
          <w:b w:val="0"/>
          <w:sz w:val="22"/>
        </w:rPr>
        <w:t>MAT applicability: not triggered as book profits are above zero and regular tax &gt; MAT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